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C1FC7" w14:textId="601DDAC2" w:rsidR="004E7E33" w:rsidRPr="004E7E33" w:rsidRDefault="004E7E33" w:rsidP="004E7E33">
      <w:pPr>
        <w:pStyle w:val="NormalWeb"/>
        <w:spacing w:line="300" w:lineRule="atLeast"/>
        <w:jc w:val="center"/>
        <w:rPr>
          <w:rFonts w:ascii="Segoe UI" w:hAnsi="Segoe UI" w:cs="Segoe UI"/>
          <w:b/>
          <w:bCs/>
          <w:sz w:val="21"/>
          <w:szCs w:val="21"/>
          <w:u w:val="single"/>
        </w:rPr>
      </w:pPr>
      <w:r w:rsidRPr="004E7E33">
        <w:rPr>
          <w:rFonts w:ascii="Segoe UI" w:hAnsi="Segoe UI" w:cs="Segoe UI"/>
          <w:b/>
          <w:bCs/>
          <w:sz w:val="21"/>
          <w:szCs w:val="21"/>
          <w:u w:val="single"/>
        </w:rPr>
        <w:t>Module 8 Activity – Customs Administration</w:t>
      </w:r>
    </w:p>
    <w:p w14:paraId="4E5E0B45" w14:textId="31546B10" w:rsidR="004E7E33" w:rsidRDefault="004E7E33" w:rsidP="004E7E33">
      <w:pPr>
        <w:pStyle w:val="NormalWeb"/>
        <w:spacing w:line="300" w:lineRule="atLeast"/>
        <w:jc w:val="both"/>
        <w:rPr>
          <w:rFonts w:ascii="Segoe UI" w:hAnsi="Segoe UI" w:cs="Segoe UI"/>
          <w:sz w:val="21"/>
          <w:szCs w:val="21"/>
        </w:rPr>
      </w:pPr>
      <w:r>
        <w:rPr>
          <w:rFonts w:ascii="Segoe UI" w:hAnsi="Segoe UI" w:cs="Segoe UI"/>
          <w:sz w:val="21"/>
          <w:szCs w:val="21"/>
        </w:rPr>
        <w:t>Customs administrations today have responsibilities that extend far beyond revenue collection and border control. In an increasingly digital and interconnected trade environment, Customs authorities are expected to facilitate legitimate trade, support e-commerce growth, enforce environmental regulations, leverage emerging technologies, and uphold integrity across global supply chains.</w:t>
      </w:r>
    </w:p>
    <w:p w14:paraId="08E333BB" w14:textId="77777777" w:rsidR="004E7E33" w:rsidRDefault="004E7E33" w:rsidP="004E7E33">
      <w:pPr>
        <w:pStyle w:val="NormalWeb"/>
        <w:spacing w:line="300" w:lineRule="atLeast"/>
        <w:jc w:val="both"/>
        <w:rPr>
          <w:rFonts w:ascii="Segoe UI" w:hAnsi="Segoe UI" w:cs="Segoe UI"/>
          <w:sz w:val="21"/>
          <w:szCs w:val="21"/>
        </w:rPr>
      </w:pPr>
      <w:r w:rsidRPr="00667B9D">
        <w:rPr>
          <w:rFonts w:ascii="Segoe UI" w:hAnsi="Segoe UI" w:cs="Segoe UI"/>
          <w:b/>
          <w:bCs/>
          <w:sz w:val="21"/>
          <w:szCs w:val="21"/>
        </w:rPr>
        <w:t>E-Commerce</w:t>
      </w:r>
      <w:r>
        <w:rPr>
          <w:rFonts w:ascii="Segoe UI" w:hAnsi="Segoe UI" w:cs="Segoe UI"/>
          <w:sz w:val="21"/>
          <w:szCs w:val="21"/>
        </w:rPr>
        <w:t xml:space="preserve"> - The rapid growth of e-commerce presents challenges to Customs administrations. The high volume of low-value shipments, inaccurate declarations, data quality concerns, and revenue leakage require Customs to adopt risk-based controls, advanced electronic data requirements, and effective compliance strategies. DHL provides accurate shipment information, advanced electronic data, automated customs declarations, and digital clearance solutions that help Customs authorities achieve faster, more secure, and compliant processes.</w:t>
      </w:r>
    </w:p>
    <w:p w14:paraId="0F44425C" w14:textId="77777777" w:rsidR="004E7E33" w:rsidRDefault="004E7E33" w:rsidP="004E7E33">
      <w:pPr>
        <w:pStyle w:val="NormalWeb"/>
        <w:spacing w:line="300" w:lineRule="atLeast"/>
        <w:jc w:val="both"/>
        <w:rPr>
          <w:rFonts w:ascii="Segoe UI" w:hAnsi="Segoe UI" w:cs="Segoe UI"/>
          <w:sz w:val="21"/>
          <w:szCs w:val="21"/>
        </w:rPr>
      </w:pPr>
      <w:r w:rsidRPr="003F5FB5">
        <w:rPr>
          <w:rFonts w:ascii="Segoe UI" w:hAnsi="Segoe UI" w:cs="Segoe UI"/>
          <w:b/>
          <w:bCs/>
          <w:sz w:val="21"/>
          <w:szCs w:val="21"/>
        </w:rPr>
        <w:t>Green Customs</w:t>
      </w:r>
      <w:r>
        <w:rPr>
          <w:rFonts w:ascii="Segoe UI" w:hAnsi="Segoe UI" w:cs="Segoe UI"/>
          <w:sz w:val="21"/>
          <w:szCs w:val="21"/>
        </w:rPr>
        <w:t xml:space="preserve"> - Green Customs has expanded the role of Customs authorities in enforcing environmental agreements, preventing the illegal trade of hazardous waste, endangered species, and other environmentally sensitive commodities, while facilitating the movement of sustainable goods. In Nigeria, the Nigeria Customs Service (NCS) works closely with agencies such as NESREA and other relevant authorities to strengthen environmental enforcement at the border. DHL Nigeria supports these efforts through accurate documentation, shipment traceability, compliance verification, and reliable trade data for regulated products.</w:t>
      </w:r>
    </w:p>
    <w:p w14:paraId="48B28A74" w14:textId="77777777" w:rsidR="004E7E33" w:rsidRDefault="004E7E33" w:rsidP="004E7E33">
      <w:pPr>
        <w:pStyle w:val="NormalWeb"/>
        <w:spacing w:line="300" w:lineRule="atLeast"/>
        <w:jc w:val="both"/>
        <w:rPr>
          <w:rFonts w:ascii="Segoe UI" w:hAnsi="Segoe UI" w:cs="Segoe UI"/>
          <w:sz w:val="21"/>
          <w:szCs w:val="21"/>
        </w:rPr>
      </w:pPr>
      <w:r w:rsidRPr="003F5FB5">
        <w:rPr>
          <w:rFonts w:ascii="Segoe UI" w:hAnsi="Segoe UI" w:cs="Segoe UI"/>
          <w:b/>
          <w:bCs/>
          <w:sz w:val="21"/>
          <w:szCs w:val="21"/>
        </w:rPr>
        <w:t>Disruptive Technologies &amp; Automation</w:t>
      </w:r>
      <w:r>
        <w:rPr>
          <w:rFonts w:ascii="Segoe UI" w:hAnsi="Segoe UI" w:cs="Segoe UI"/>
          <w:sz w:val="21"/>
          <w:szCs w:val="21"/>
        </w:rPr>
        <w:t xml:space="preserve"> – Meanwhile, Artificial Intelligence (AI), blockchain, Internet of Things (IoT), advanced analytics, and non-intrusive inspection systems are transforming Customs operations. Nigeria Customs continues to invest in automation, digital processes, and scanner-based inspections to improve risk management and trade facilitation. Similarly, DHL leverages AI-supported documentation processes, automated customs platforms, and data-driven compliance tools to enhance efficiency, visibility, and regulatory compliance.</w:t>
      </w:r>
    </w:p>
    <w:p w14:paraId="0476657A" w14:textId="77777777" w:rsidR="004E7E33" w:rsidRDefault="004E7E33" w:rsidP="004E7E33">
      <w:pPr>
        <w:pStyle w:val="NormalWeb"/>
        <w:spacing w:line="300" w:lineRule="atLeast"/>
        <w:jc w:val="both"/>
        <w:rPr>
          <w:rFonts w:ascii="Segoe UI" w:hAnsi="Segoe UI" w:cs="Segoe UI"/>
          <w:sz w:val="21"/>
          <w:szCs w:val="21"/>
        </w:rPr>
      </w:pPr>
      <w:r w:rsidRPr="003F5FB5">
        <w:rPr>
          <w:rFonts w:ascii="Segoe UI" w:hAnsi="Segoe UI" w:cs="Segoe UI"/>
          <w:b/>
          <w:bCs/>
          <w:sz w:val="21"/>
          <w:szCs w:val="21"/>
        </w:rPr>
        <w:t>Integrity</w:t>
      </w:r>
      <w:r>
        <w:rPr>
          <w:rFonts w:ascii="Segoe UI" w:hAnsi="Segoe UI" w:cs="Segoe UI"/>
          <w:sz w:val="21"/>
          <w:szCs w:val="21"/>
        </w:rPr>
        <w:t xml:space="preserve"> - Integrity remains fundamental to effective Customs administration. Transparency, accountability, automation, ethical conduct, and strong Customs-private sector partnerships are essential for reducing corruption risks, strengthening public confidence, and ensuring fair and consistent enforcement. DHL's Code of Conduct, compliance framework, and commitment to ethical business practices support these objectives.</w:t>
      </w:r>
    </w:p>
    <w:p w14:paraId="4D1FAAEC" w14:textId="77777777" w:rsidR="004E7E33" w:rsidRDefault="004E7E33" w:rsidP="004E7E33">
      <w:pPr>
        <w:pStyle w:val="NormalWeb"/>
        <w:spacing w:line="300" w:lineRule="atLeast"/>
        <w:jc w:val="both"/>
        <w:rPr>
          <w:rFonts w:ascii="Segoe UI" w:hAnsi="Segoe UI" w:cs="Segoe UI"/>
          <w:sz w:val="21"/>
          <w:szCs w:val="21"/>
        </w:rPr>
      </w:pPr>
      <w:r>
        <w:rPr>
          <w:rFonts w:ascii="Segoe UI" w:hAnsi="Segoe UI" w:cs="Segoe UI"/>
          <w:sz w:val="21"/>
          <w:szCs w:val="21"/>
        </w:rPr>
        <w:t>Finally, effective border governance cannot be achieved by Customs alone. Strong public-private cooperation between Customs administrations, logistics providers, importers, exporters, regulators, and technology partners is essential to maintaining secure, efficient, transparent, and resilient international trade supply chains.</w:t>
      </w:r>
    </w:p>
    <w:p w14:paraId="471125E8" w14:textId="77777777" w:rsidR="00A4257E" w:rsidRDefault="00A4257E"/>
    <w:sectPr w:rsidR="00A425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E33"/>
    <w:rsid w:val="004E7E33"/>
    <w:rsid w:val="009B2369"/>
    <w:rsid w:val="00A4257E"/>
    <w:rsid w:val="00D979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AB606"/>
  <w15:chartTrackingRefBased/>
  <w15:docId w15:val="{A6A9F3F9-3FE1-4012-ABB9-8462FEA6B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7E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7E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7E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7E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7E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7E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7E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7E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7E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7E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7E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7E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7E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7E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7E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7E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7E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7E33"/>
    <w:rPr>
      <w:rFonts w:eastAsiaTheme="majorEastAsia" w:cstheme="majorBidi"/>
      <w:color w:val="272727" w:themeColor="text1" w:themeTint="D8"/>
    </w:rPr>
  </w:style>
  <w:style w:type="paragraph" w:styleId="Title">
    <w:name w:val="Title"/>
    <w:basedOn w:val="Normal"/>
    <w:next w:val="Normal"/>
    <w:link w:val="TitleChar"/>
    <w:uiPriority w:val="10"/>
    <w:qFormat/>
    <w:rsid w:val="004E7E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7E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7E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7E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7E33"/>
    <w:pPr>
      <w:spacing w:before="160"/>
      <w:jc w:val="center"/>
    </w:pPr>
    <w:rPr>
      <w:i/>
      <w:iCs/>
      <w:color w:val="404040" w:themeColor="text1" w:themeTint="BF"/>
    </w:rPr>
  </w:style>
  <w:style w:type="character" w:customStyle="1" w:styleId="QuoteChar">
    <w:name w:val="Quote Char"/>
    <w:basedOn w:val="DefaultParagraphFont"/>
    <w:link w:val="Quote"/>
    <w:uiPriority w:val="29"/>
    <w:rsid w:val="004E7E33"/>
    <w:rPr>
      <w:i/>
      <w:iCs/>
      <w:color w:val="404040" w:themeColor="text1" w:themeTint="BF"/>
    </w:rPr>
  </w:style>
  <w:style w:type="paragraph" w:styleId="ListParagraph">
    <w:name w:val="List Paragraph"/>
    <w:basedOn w:val="Normal"/>
    <w:uiPriority w:val="34"/>
    <w:qFormat/>
    <w:rsid w:val="004E7E33"/>
    <w:pPr>
      <w:ind w:left="720"/>
      <w:contextualSpacing/>
    </w:pPr>
  </w:style>
  <w:style w:type="character" w:styleId="IntenseEmphasis">
    <w:name w:val="Intense Emphasis"/>
    <w:basedOn w:val="DefaultParagraphFont"/>
    <w:uiPriority w:val="21"/>
    <w:qFormat/>
    <w:rsid w:val="004E7E33"/>
    <w:rPr>
      <w:i/>
      <w:iCs/>
      <w:color w:val="0F4761" w:themeColor="accent1" w:themeShade="BF"/>
    </w:rPr>
  </w:style>
  <w:style w:type="paragraph" w:styleId="IntenseQuote">
    <w:name w:val="Intense Quote"/>
    <w:basedOn w:val="Normal"/>
    <w:next w:val="Normal"/>
    <w:link w:val="IntenseQuoteChar"/>
    <w:uiPriority w:val="30"/>
    <w:qFormat/>
    <w:rsid w:val="004E7E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7E33"/>
    <w:rPr>
      <w:i/>
      <w:iCs/>
      <w:color w:val="0F4761" w:themeColor="accent1" w:themeShade="BF"/>
    </w:rPr>
  </w:style>
  <w:style w:type="character" w:styleId="IntenseReference">
    <w:name w:val="Intense Reference"/>
    <w:basedOn w:val="DefaultParagraphFont"/>
    <w:uiPriority w:val="32"/>
    <w:qFormat/>
    <w:rsid w:val="004E7E33"/>
    <w:rPr>
      <w:b/>
      <w:bCs/>
      <w:smallCaps/>
      <w:color w:val="0F4761" w:themeColor="accent1" w:themeShade="BF"/>
      <w:spacing w:val="5"/>
    </w:rPr>
  </w:style>
  <w:style w:type="paragraph" w:styleId="NormalWeb">
    <w:name w:val="Normal (Web)"/>
    <w:basedOn w:val="Normal"/>
    <w:uiPriority w:val="99"/>
    <w:semiHidden/>
    <w:unhideWhenUsed/>
    <w:rsid w:val="004E7E33"/>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36915f3-2f02-4945-8997-f2963298db46}" enabled="1" method="Standard" siteId="{cd99fef8-1cd3-4a2a-9bdf-15531181d65e}" contentBits="1"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432</Words>
  <Characters>2468</Characters>
  <Application>Microsoft Office Word</Application>
  <DocSecurity>0</DocSecurity>
  <Lines>20</Lines>
  <Paragraphs>5</Paragraphs>
  <ScaleCrop>false</ScaleCrop>
  <Company>DHL Group</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Davids Malachi (DHL NG)</dc:creator>
  <cp:keywords/>
  <dc:description/>
  <cp:lastModifiedBy>Davids Malachi (DHL NG)</cp:lastModifiedBy>
  <cp:revision>1</cp:revision>
  <dcterms:created xsi:type="dcterms:W3CDTF">2026-09-08T08:37:00Z</dcterms:created>
  <dcterms:modified xsi:type="dcterms:W3CDTF">2026-09-08T08:39:00Z</dcterms:modified>
</cp:coreProperties>
</file>